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A" w:rsidRPr="00FA3452" w:rsidRDefault="007A790A" w:rsidP="00C44B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楷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U</w:t>
      </w:r>
      <w:r>
        <w:rPr>
          <w:rFonts w:ascii="Times New Roman" w:eastAsia="楷体" w:hAnsi="楷体" w:cs="Times New Roman"/>
          <w:b/>
          <w:kern w:val="0"/>
          <w:sz w:val="44"/>
          <w:szCs w:val="44"/>
        </w:rPr>
        <w:t>PLC-Q-TOF</w:t>
      </w:r>
      <w:r w:rsidR="00272FCA" w:rsidRPr="00FA3452">
        <w:rPr>
          <w:rFonts w:ascii="Times New Roman" w:eastAsia="楷体" w:hAnsi="楷体" w:cs="Times New Roman"/>
          <w:b/>
          <w:kern w:val="0"/>
          <w:sz w:val="44"/>
          <w:szCs w:val="44"/>
        </w:rPr>
        <w:t>申请必读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请各位同学在提交申请书之前先了解以下内容：</w:t>
      </w:r>
    </w:p>
    <w:p w:rsidR="00C85D46" w:rsidRPr="007A790A" w:rsidRDefault="00C85D46" w:rsidP="007A79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eastAsia="楷体" w:hAnsi="楷体" w:cs="Times New Roman"/>
          <w:kern w:val="0"/>
          <w:sz w:val="30"/>
          <w:szCs w:val="30"/>
        </w:rPr>
      </w:pP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仪器特点及样品需求</w:t>
      </w:r>
    </w:p>
    <w:p w:rsidR="007A790A" w:rsidRPr="00244A06" w:rsidRDefault="007A790A" w:rsidP="00244A0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rPr>
          <w:rFonts w:ascii="黑体" w:eastAsia="黑体" w:hAnsi="黑体" w:cs="Times New Roman"/>
          <w:kern w:val="0"/>
          <w:sz w:val="30"/>
          <w:szCs w:val="30"/>
          <w:u w:val="single"/>
        </w:rPr>
      </w:pPr>
      <w:r w:rsidRPr="00244A06">
        <w:rPr>
          <w:rFonts w:ascii="Times New Roman" w:eastAsia="楷体" w:hAnsi="楷体" w:cs="Times New Roman"/>
          <w:kern w:val="0"/>
          <w:sz w:val="30"/>
          <w:szCs w:val="30"/>
        </w:rPr>
        <w:t>在提出使用</w:t>
      </w:r>
      <w:r w:rsidRPr="00244A06">
        <w:rPr>
          <w:rFonts w:ascii="Times New Roman" w:eastAsia="楷体" w:hAnsi="楷体" w:cs="Times New Roman" w:hint="eastAsia"/>
          <w:kern w:val="0"/>
          <w:sz w:val="30"/>
          <w:szCs w:val="30"/>
        </w:rPr>
        <w:t>仪器</w:t>
      </w:r>
      <w:r w:rsidRPr="00244A06">
        <w:rPr>
          <w:rFonts w:ascii="Times New Roman" w:eastAsia="楷体" w:hAnsi="楷体" w:cs="Times New Roman"/>
          <w:kern w:val="0"/>
          <w:sz w:val="30"/>
          <w:szCs w:val="30"/>
        </w:rPr>
        <w:t>之前，请先阅读相关书籍及资料</w:t>
      </w:r>
      <w:r w:rsidRPr="00244A06">
        <w:rPr>
          <w:rFonts w:ascii="Times New Roman" w:eastAsia="楷体" w:hAnsi="楷体" w:cs="Times New Roman" w:hint="eastAsia"/>
          <w:kern w:val="0"/>
          <w:sz w:val="30"/>
          <w:szCs w:val="30"/>
        </w:rPr>
        <w:t>了解超高效液相色谱</w:t>
      </w:r>
      <w:r w:rsidRPr="00244A06">
        <w:rPr>
          <w:rFonts w:ascii="Times New Roman" w:eastAsia="楷体" w:hAnsi="楷体" w:cs="Times New Roman" w:hint="eastAsia"/>
          <w:kern w:val="0"/>
          <w:sz w:val="30"/>
          <w:szCs w:val="30"/>
        </w:rPr>
        <w:t>-</w:t>
      </w:r>
      <w:r w:rsidRPr="00244A06">
        <w:rPr>
          <w:rFonts w:ascii="Times New Roman" w:eastAsia="楷体" w:hAnsi="楷体" w:cs="Times New Roman" w:hint="eastAsia"/>
          <w:kern w:val="0"/>
          <w:sz w:val="30"/>
          <w:szCs w:val="30"/>
        </w:rPr>
        <w:t>四极杆飞行时间质谱</w:t>
      </w:r>
      <w:r w:rsidRPr="00244A06">
        <w:rPr>
          <w:rFonts w:ascii="Times New Roman" w:eastAsia="楷体" w:hAnsi="楷体" w:cs="Times New Roman"/>
          <w:kern w:val="0"/>
          <w:sz w:val="30"/>
          <w:szCs w:val="30"/>
        </w:rPr>
        <w:t>的基本原理。</w:t>
      </w:r>
      <w:r w:rsidRPr="00244A06">
        <w:rPr>
          <w:rFonts w:ascii="Times New Roman" w:eastAsia="楷体" w:hAnsi="楷体" w:cs="Times New Roman" w:hint="eastAsia"/>
          <w:kern w:val="0"/>
          <w:sz w:val="30"/>
          <w:szCs w:val="30"/>
        </w:rPr>
        <w:t>重点</w:t>
      </w:r>
      <w:r w:rsidRPr="00244A06">
        <w:rPr>
          <w:rFonts w:ascii="Times New Roman" w:eastAsia="楷体" w:hAnsi="楷体" w:cs="Times New Roman"/>
          <w:kern w:val="0"/>
          <w:sz w:val="30"/>
          <w:szCs w:val="30"/>
        </w:rPr>
        <w:t>实验室提供超纯水</w:t>
      </w:r>
      <w:r w:rsidRPr="00244A06">
        <w:rPr>
          <w:rFonts w:ascii="Times New Roman" w:eastAsia="楷体" w:hAnsi="楷体" w:cs="Times New Roman" w:hint="eastAsia"/>
          <w:kern w:val="0"/>
          <w:sz w:val="30"/>
          <w:szCs w:val="30"/>
        </w:rPr>
        <w:t>流动相</w:t>
      </w:r>
      <w:r w:rsidRPr="00244A06">
        <w:rPr>
          <w:rFonts w:ascii="Times New Roman" w:eastAsia="楷体" w:hAnsi="楷体" w:cs="Times New Roman"/>
          <w:kern w:val="0"/>
          <w:sz w:val="30"/>
          <w:szCs w:val="30"/>
        </w:rPr>
        <w:t>，</w:t>
      </w:r>
      <w:r w:rsidRPr="00244A06">
        <w:rPr>
          <w:rFonts w:ascii="黑体" w:eastAsia="黑体" w:hAnsi="黑体" w:cs="Times New Roman" w:hint="eastAsia"/>
          <w:kern w:val="0"/>
          <w:sz w:val="30"/>
          <w:szCs w:val="30"/>
          <w:u w:val="single"/>
        </w:rPr>
        <w:t>自备超高效液相色谱柱、有机</w:t>
      </w:r>
      <w:r w:rsidRPr="00244A06">
        <w:rPr>
          <w:rFonts w:ascii="黑体" w:eastAsia="黑体" w:hAnsi="黑体" w:cs="Times New Roman"/>
          <w:kern w:val="0"/>
          <w:sz w:val="30"/>
          <w:szCs w:val="30"/>
          <w:u w:val="single"/>
        </w:rPr>
        <w:t>流动相、</w:t>
      </w:r>
      <w:r w:rsidRPr="00244A06">
        <w:rPr>
          <w:rFonts w:ascii="黑体" w:eastAsia="黑体" w:hAnsi="黑体" w:cs="Times New Roman" w:hint="eastAsia"/>
          <w:kern w:val="0"/>
          <w:sz w:val="30"/>
          <w:szCs w:val="30"/>
          <w:u w:val="single"/>
        </w:rPr>
        <w:t>样品瓶、样品预处理耗材、无尘手套、0.2μm滤膜及针筒式过滤器（使用</w:t>
      </w:r>
      <w:r w:rsidRPr="00244A06">
        <w:rPr>
          <w:rFonts w:ascii="黑体" w:eastAsia="黑体" w:hAnsi="黑体" w:cs="Times New Roman"/>
          <w:kern w:val="0"/>
          <w:sz w:val="30"/>
          <w:szCs w:val="30"/>
          <w:u w:val="single"/>
        </w:rPr>
        <w:t>耗材应保证产品质量，避免前处理过程</w:t>
      </w:r>
      <w:r w:rsidRPr="00244A06">
        <w:rPr>
          <w:rFonts w:ascii="黑体" w:eastAsia="黑体" w:hAnsi="黑体" w:cs="Times New Roman" w:hint="eastAsia"/>
          <w:kern w:val="0"/>
          <w:sz w:val="30"/>
          <w:szCs w:val="30"/>
          <w:u w:val="single"/>
        </w:rPr>
        <w:t>带来</w:t>
      </w:r>
      <w:r w:rsidRPr="00244A06">
        <w:rPr>
          <w:rFonts w:ascii="黑体" w:eastAsia="黑体" w:hAnsi="黑体" w:cs="Times New Roman"/>
          <w:kern w:val="0"/>
          <w:sz w:val="30"/>
          <w:szCs w:val="30"/>
          <w:u w:val="single"/>
        </w:rPr>
        <w:t>污染）</w:t>
      </w:r>
      <w:r w:rsidRPr="00244A06">
        <w:rPr>
          <w:rFonts w:ascii="黑体" w:eastAsia="黑体" w:hAnsi="黑体" w:cs="Times New Roman" w:hint="eastAsia"/>
          <w:kern w:val="0"/>
          <w:sz w:val="30"/>
          <w:szCs w:val="30"/>
          <w:u w:val="single"/>
        </w:rPr>
        <w:t>。</w:t>
      </w:r>
    </w:p>
    <w:p w:rsidR="00244A06" w:rsidRPr="00244A06" w:rsidRDefault="00244A06" w:rsidP="00244A06">
      <w:pPr>
        <w:pStyle w:val="a5"/>
        <w:autoSpaceDE w:val="0"/>
        <w:autoSpaceDN w:val="0"/>
        <w:adjustRightInd w:val="0"/>
        <w:spacing w:line="360" w:lineRule="auto"/>
        <w:ind w:left="375" w:firstLineChars="0" w:firstLine="0"/>
        <w:rPr>
          <w:rFonts w:ascii="方正姚体" w:eastAsia="方正姚体" w:hAnsi="Times New Roman" w:cs="Times New Roman"/>
          <w:color w:val="FF0000"/>
          <w:kern w:val="0"/>
          <w:szCs w:val="21"/>
        </w:rPr>
      </w:pPr>
      <w:r w:rsidRPr="00244A06">
        <w:rPr>
          <w:rFonts w:ascii="方正姚体" w:eastAsia="方正姚体" w:hAnsi="Times New Roman" w:cs="Times New Roman" w:hint="eastAsia"/>
          <w:color w:val="FF0000"/>
          <w:kern w:val="0"/>
          <w:szCs w:val="21"/>
        </w:rPr>
        <w:t>注：</w:t>
      </w:r>
      <w:r w:rsidRPr="00244A06">
        <w:rPr>
          <w:rFonts w:ascii="方正姚体" w:eastAsia="方正姚体" w:hAnsi="黑体" w:cs="Times New Roman" w:hint="eastAsia"/>
          <w:color w:val="FF0000"/>
          <w:kern w:val="0"/>
          <w:szCs w:val="21"/>
        </w:rPr>
        <w:t>自备色谱柱需为</w:t>
      </w:r>
      <w:r w:rsidRPr="00077E12">
        <w:rPr>
          <w:rFonts w:ascii="方正姚体" w:eastAsia="方正姚体" w:hAnsi="黑体" w:cs="Times New Roman" w:hint="eastAsia"/>
          <w:color w:val="FF0000"/>
          <w:kern w:val="0"/>
          <w:szCs w:val="21"/>
          <w:u w:val="single"/>
        </w:rPr>
        <w:t>waters品牌色谱柱</w:t>
      </w:r>
      <w:r w:rsidR="007677DA">
        <w:rPr>
          <w:rFonts w:ascii="方正姚体" w:eastAsia="方正姚体" w:hAnsi="黑体" w:cs="Times New Roman" w:hint="eastAsia"/>
          <w:color w:val="FF0000"/>
          <w:kern w:val="0"/>
          <w:szCs w:val="21"/>
          <w:u w:val="single"/>
        </w:rPr>
        <w:t>且</w:t>
      </w:r>
      <w:r w:rsidR="007677DA">
        <w:rPr>
          <w:rFonts w:ascii="方正姚体" w:eastAsia="方正姚体" w:hAnsi="黑体" w:cs="Times New Roman"/>
          <w:color w:val="FF0000"/>
          <w:kern w:val="0"/>
          <w:szCs w:val="21"/>
          <w:u w:val="single"/>
        </w:rPr>
        <w:t>柱长</w:t>
      </w:r>
      <w:r w:rsidR="007677DA">
        <w:rPr>
          <w:rFonts w:ascii="方正姚体" w:eastAsia="方正姚体" w:hAnsi="黑体" w:cs="Times New Roman" w:hint="eastAsia"/>
          <w:color w:val="FF0000"/>
          <w:kern w:val="0"/>
          <w:szCs w:val="21"/>
          <w:u w:val="single"/>
        </w:rPr>
        <w:t>≤100</w:t>
      </w:r>
      <w:r w:rsidR="007677DA">
        <w:rPr>
          <w:rFonts w:ascii="方正姚体" w:eastAsia="方正姚体" w:hAnsi="黑体" w:cs="Times New Roman"/>
          <w:color w:val="FF0000"/>
          <w:kern w:val="0"/>
          <w:szCs w:val="21"/>
          <w:u w:val="single"/>
        </w:rPr>
        <w:t>mm</w:t>
      </w:r>
      <w:bookmarkStart w:id="0" w:name="_GoBack"/>
      <w:bookmarkEnd w:id="0"/>
      <w:r w:rsidR="00077E12">
        <w:rPr>
          <w:rFonts w:ascii="方正姚体" w:eastAsia="方正姚体" w:hAnsi="黑体" w:cs="Times New Roman" w:hint="eastAsia"/>
          <w:color w:val="FF0000"/>
          <w:kern w:val="0"/>
          <w:szCs w:val="21"/>
        </w:rPr>
        <w:t>（</w:t>
      </w:r>
      <w:r w:rsidRPr="00244A06">
        <w:rPr>
          <w:rFonts w:ascii="方正姚体" w:eastAsia="方正姚体" w:hAnsi="黑体" w:cs="Times New Roman" w:hint="eastAsia"/>
          <w:color w:val="FF0000"/>
          <w:kern w:val="0"/>
          <w:szCs w:val="21"/>
        </w:rPr>
        <w:t>因本仪器配置为waters的I-class系列超高效液相色谱，其他公司的色谱柱与waters液相色谱的色谱柱管路接头不兼容</w:t>
      </w:r>
      <w:r w:rsidR="00077E12">
        <w:rPr>
          <w:rFonts w:ascii="方正姚体" w:eastAsia="方正姚体" w:hAnsi="黑体" w:cs="Times New Roman" w:hint="eastAsia"/>
          <w:color w:val="FF0000"/>
          <w:kern w:val="0"/>
          <w:szCs w:val="21"/>
        </w:rPr>
        <w:t>）</w:t>
      </w:r>
      <w:r w:rsidRPr="00244A06">
        <w:rPr>
          <w:rFonts w:ascii="方正姚体" w:eastAsia="方正姚体" w:hAnsi="黑体" w:cs="Times New Roman" w:hint="eastAsia"/>
          <w:color w:val="FF0000"/>
          <w:kern w:val="0"/>
          <w:szCs w:val="21"/>
        </w:rPr>
        <w:t>。</w:t>
      </w:r>
    </w:p>
    <w:p w:rsidR="00287967" w:rsidRPr="007A790A" w:rsidRDefault="007A790A" w:rsidP="007A790A">
      <w:pPr>
        <w:autoSpaceDE w:val="0"/>
        <w:autoSpaceDN w:val="0"/>
        <w:adjustRightInd w:val="0"/>
        <w:spacing w:line="360" w:lineRule="auto"/>
        <w:rPr>
          <w:rFonts w:ascii="Times New Roman" w:eastAsia="楷体" w:hAnsi="楷体" w:cs="Times New Roman"/>
          <w:kern w:val="0"/>
          <w:sz w:val="30"/>
          <w:szCs w:val="30"/>
        </w:rPr>
      </w:pP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 xml:space="preserve">2. 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超高效液相色谱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-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四极杆飞行时间质谱是在超高效液相色谱分离的基础上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，应用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飞行时间质谱的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高分辨能力，精确测定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m/z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，进一步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通过软件计算，得出目标物</w:t>
      </w:r>
      <w:r w:rsidRPr="007A790A">
        <w:rPr>
          <w:rFonts w:ascii="Times New Roman" w:eastAsia="楷体" w:hAnsi="楷体" w:cs="Times New Roman"/>
          <w:color w:val="FF0000"/>
          <w:kern w:val="0"/>
          <w:sz w:val="44"/>
          <w:szCs w:val="44"/>
          <w:u w:val="single"/>
        </w:rPr>
        <w:t>可能的</w:t>
      </w:r>
      <w:r w:rsidRPr="007A790A">
        <w:rPr>
          <w:rFonts w:ascii="黑体" w:eastAsia="黑体" w:hAnsi="黑体" w:cs="Times New Roman"/>
          <w:b/>
          <w:kern w:val="0"/>
          <w:sz w:val="44"/>
          <w:szCs w:val="44"/>
          <w:u w:val="single"/>
        </w:rPr>
        <w:t>分子式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，对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目标物的鉴定和识别具有重要的作用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；</w:t>
      </w:r>
      <w:r w:rsidR="00A546FC" w:rsidRPr="00F349BB">
        <w:rPr>
          <w:rFonts w:ascii="黑体" w:eastAsia="黑体" w:hAnsi="黑体" w:cs="Times New Roman" w:hint="eastAsia"/>
          <w:color w:val="0000FF"/>
          <w:kern w:val="0"/>
          <w:sz w:val="30"/>
          <w:szCs w:val="30"/>
          <w:u w:val="single"/>
        </w:rPr>
        <w:t>本</w:t>
      </w:r>
      <w:r w:rsidR="00287967" w:rsidRPr="00F349BB">
        <w:rPr>
          <w:rFonts w:ascii="黑体" w:eastAsia="黑体" w:hAnsi="黑体" w:cs="Times New Roman" w:hint="eastAsia"/>
          <w:color w:val="0000FF"/>
          <w:kern w:val="0"/>
          <w:sz w:val="30"/>
          <w:szCs w:val="30"/>
          <w:u w:val="single"/>
        </w:rPr>
        <w:t>仪器不具备</w:t>
      </w:r>
      <w:r w:rsidR="00287967" w:rsidRPr="00F349BB">
        <w:rPr>
          <w:rFonts w:ascii="黑体" w:eastAsia="黑体" w:hAnsi="黑体" w:cs="Times New Roman"/>
          <w:color w:val="0000FF"/>
          <w:kern w:val="0"/>
          <w:sz w:val="30"/>
          <w:szCs w:val="30"/>
          <w:u w:val="single"/>
        </w:rPr>
        <w:t>谱库检索定性</w:t>
      </w:r>
      <w:r w:rsidR="00287967" w:rsidRPr="00F349BB">
        <w:rPr>
          <w:rFonts w:ascii="黑体" w:eastAsia="黑体" w:hAnsi="黑体" w:cs="Times New Roman" w:hint="eastAsia"/>
          <w:color w:val="0000FF"/>
          <w:kern w:val="0"/>
          <w:sz w:val="30"/>
          <w:szCs w:val="30"/>
          <w:u w:val="single"/>
        </w:rPr>
        <w:t>功能</w:t>
      </w:r>
      <w:r w:rsidR="00287967" w:rsidRPr="00F349BB">
        <w:rPr>
          <w:rFonts w:ascii="黑体" w:eastAsia="黑体" w:hAnsi="黑体" w:cs="Times New Roman"/>
          <w:color w:val="0000FF"/>
          <w:kern w:val="0"/>
          <w:sz w:val="30"/>
          <w:szCs w:val="30"/>
          <w:u w:val="single"/>
        </w:rPr>
        <w:t>；</w:t>
      </w:r>
      <w:r w:rsidRPr="007A790A">
        <w:rPr>
          <w:rFonts w:ascii="黑体" w:eastAsia="黑体" w:hAnsi="黑体" w:cs="Times New Roman"/>
          <w:kern w:val="0"/>
          <w:sz w:val="30"/>
          <w:szCs w:val="30"/>
        </w:rPr>
        <w:t>为了准确鉴定未知物，通常还需要进行其他仪器分析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。</w:t>
      </w:r>
    </w:p>
    <w:p w:rsidR="007A790A" w:rsidRPr="007A790A" w:rsidRDefault="007A790A" w:rsidP="007A790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 xml:space="preserve">3. 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实验分析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以定向筛查为主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；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非定向筛查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数据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分析工作量大，结果可靠性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低于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定向筛查。</w:t>
      </w:r>
    </w:p>
    <w:p w:rsidR="007A790A" w:rsidRPr="007A790A" w:rsidRDefault="007A790A" w:rsidP="007A790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 xml:space="preserve">4. 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根据分析对象查阅相关文献，检索、对比分析方法，找出适合自己样品分析的液相及质谱条件。</w:t>
      </w:r>
    </w:p>
    <w:p w:rsidR="007A790A" w:rsidRPr="007A790A" w:rsidRDefault="007A790A" w:rsidP="007A790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 xml:space="preserve">5. 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样品处理：用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0.</w:t>
      </w: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22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µm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的滤膜过滤样品，确保样品中不含固体颗粒；流动相不得使用非挥发性盐类添加剂；如果</w:t>
      </w: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必须使用添加剂，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只能使用甲酸铵、乙酸铵挥发性盐，浓度控制在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10mM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以下，酸碱可用甲酸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(&lt;0.1%)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、乙酸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(&lt;</w:t>
      </w: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0.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1%)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、氨水，流动相要超声脱气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15min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。</w:t>
      </w:r>
    </w:p>
    <w:p w:rsidR="007A790A" w:rsidRPr="007A790A" w:rsidRDefault="007A790A" w:rsidP="007A790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lastRenderedPageBreak/>
        <w:t xml:space="preserve">6. 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仪器配置</w:t>
      </w: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电喷雾电离源，主要适合弱极性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/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极性</w:t>
      </w: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化合物分析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；有机流动相应</w:t>
      </w: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使用质谱级或农残级级别</w:t>
      </w:r>
      <w:r w:rsidRPr="007A790A">
        <w:rPr>
          <w:rFonts w:ascii="Times New Roman" w:eastAsia="楷体" w:hAnsi="Times New Roman" w:cs="Times New Roman" w:hint="eastAsia"/>
          <w:kern w:val="0"/>
          <w:sz w:val="30"/>
          <w:szCs w:val="30"/>
        </w:rPr>
        <w:t>。</w:t>
      </w:r>
    </w:p>
    <w:p w:rsidR="00272FCA" w:rsidRPr="00FA3452" w:rsidRDefault="007A790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7A790A">
        <w:rPr>
          <w:rFonts w:ascii="Times New Roman" w:eastAsia="楷体" w:hAnsi="Times New Roman" w:cs="Times New Roman"/>
          <w:kern w:val="0"/>
          <w:sz w:val="30"/>
          <w:szCs w:val="30"/>
        </w:rPr>
        <w:t>7.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 xml:space="preserve"> 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按要求详细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填写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仪器使用</w:t>
      </w:r>
      <w:r w:rsidRPr="007A790A">
        <w:rPr>
          <w:rFonts w:ascii="Times New Roman" w:eastAsia="楷体" w:hAnsi="楷体" w:cs="Times New Roman"/>
          <w:kern w:val="0"/>
          <w:sz w:val="30"/>
          <w:szCs w:val="30"/>
        </w:rPr>
        <w:t>申请表</w:t>
      </w:r>
      <w:r w:rsidRPr="007A790A">
        <w:rPr>
          <w:rFonts w:ascii="Times New Roman" w:eastAsia="楷体" w:hAnsi="楷体" w:cs="Times New Roman" w:hint="eastAsia"/>
          <w:kern w:val="0"/>
          <w:sz w:val="30"/>
          <w:szCs w:val="30"/>
        </w:rPr>
        <w:t>并提交纸质版。</w:t>
      </w:r>
    </w:p>
    <w:p w:rsidR="00C85D46" w:rsidRPr="00FA3452" w:rsidRDefault="003B00EB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楷体" w:cs="Times New Roman"/>
          <w:sz w:val="30"/>
          <w:szCs w:val="30"/>
        </w:rPr>
        <w:t>二．仪器使用要求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1.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每人</w:t>
      </w:r>
      <w:r w:rsidR="002302FD">
        <w:rPr>
          <w:rFonts w:ascii="Times New Roman" w:eastAsia="楷体" w:hAnsi="楷体" w:cs="Times New Roman" w:hint="eastAsia"/>
          <w:sz w:val="30"/>
          <w:szCs w:val="30"/>
        </w:rPr>
        <w:t>每次</w:t>
      </w:r>
      <w:r w:rsidRPr="00FA3452">
        <w:rPr>
          <w:rFonts w:ascii="Times New Roman" w:eastAsia="楷体" w:hAnsi="楷体" w:cs="Times New Roman"/>
          <w:sz w:val="30"/>
          <w:szCs w:val="30"/>
        </w:rPr>
        <w:t>预约不超过</w:t>
      </w:r>
      <w:r w:rsidRPr="00FA3452">
        <w:rPr>
          <w:rFonts w:ascii="Times New Roman" w:eastAsia="楷体" w:hAnsi="Times New Roman" w:cs="Times New Roman"/>
          <w:sz w:val="30"/>
          <w:szCs w:val="30"/>
        </w:rPr>
        <w:t>2</w:t>
      </w:r>
      <w:r w:rsidRPr="00FA3452">
        <w:rPr>
          <w:rFonts w:ascii="Times New Roman" w:eastAsia="楷体" w:hAnsi="楷体" w:cs="Times New Roman"/>
          <w:sz w:val="30"/>
          <w:szCs w:val="30"/>
        </w:rPr>
        <w:t>天，每次预约限约一次，实验分析当天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14:00</w:t>
      </w:r>
      <w:r w:rsidRPr="00FA3452">
        <w:rPr>
          <w:rFonts w:ascii="Times New Roman" w:eastAsia="楷体" w:hAnsi="楷体" w:cs="Times New Roman"/>
          <w:sz w:val="30"/>
          <w:szCs w:val="30"/>
        </w:rPr>
        <w:t>后可预约下一次（不可提前）；遵循本人申请，本人预约的原则，他人不可替代。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2.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如有特殊原因不能应约实验分析，须在预约日期前一天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12:00</w:t>
      </w:r>
      <w:r w:rsidRPr="00FA3452">
        <w:rPr>
          <w:rFonts w:ascii="Times New Roman" w:eastAsia="楷体" w:hAnsi="楷体" w:cs="Times New Roman"/>
          <w:sz w:val="30"/>
          <w:szCs w:val="30"/>
        </w:rPr>
        <w:t>之前或更早时间通知老师，以作调整；不得擅自调整！</w:t>
      </w:r>
    </w:p>
    <w:p w:rsidR="003B00EB" w:rsidRPr="00FA3452" w:rsidRDefault="00D63EAE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3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>.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实验分析完成后</w:t>
      </w:r>
      <w:r w:rsidR="009E1370">
        <w:rPr>
          <w:rFonts w:ascii="Times New Roman" w:eastAsia="楷体" w:hAnsi="楷体" w:cs="Times New Roman" w:hint="eastAsia"/>
          <w:sz w:val="30"/>
          <w:szCs w:val="30"/>
        </w:rPr>
        <w:t>进行实验</w:t>
      </w:r>
      <w:r w:rsidR="009E1370">
        <w:rPr>
          <w:rFonts w:ascii="Times New Roman" w:eastAsia="楷体" w:hAnsi="楷体" w:cs="Times New Roman"/>
          <w:sz w:val="30"/>
          <w:szCs w:val="30"/>
        </w:rPr>
        <w:t>登记</w:t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。实验记录要求试验完成后及时填写，不可次日或他日补填，补填视为未记录。</w:t>
      </w:r>
    </w:p>
    <w:p w:rsidR="003B00EB" w:rsidRPr="00FA3452" w:rsidRDefault="002302FD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4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>.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实验数据</w:t>
      </w:r>
      <w:r>
        <w:rPr>
          <w:rFonts w:ascii="Times New Roman" w:eastAsia="楷体" w:hAnsi="楷体" w:cs="Times New Roman" w:hint="eastAsia"/>
          <w:sz w:val="30"/>
          <w:szCs w:val="30"/>
        </w:rPr>
        <w:t>自行</w:t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处理分析，如需保存请自带光盘进行刻录，禁止使用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>U</w:t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盘。为保证软件良好运行，确保电脑硬盘空间，实验室默认保存数据一个月，届时将清除数据（不可恢复）。</w:t>
      </w:r>
    </w:p>
    <w:p w:rsidR="003B00EB" w:rsidRPr="00FA3452" w:rsidRDefault="002302FD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5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>.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溶剂或样品置于密封良好的溶剂瓶后方可进入仪器房间，不得将其置于敞口溶剂瓶进入仪器房间；样品处理及预处理不得在仪器房间进行；实验完毕后，样品、溶剂及个人物品请及时带走，不得在仪器房间存放；仪器房间有一定的温度及湿度要求，空调开启时不得敞开门或窗；离开仪器房间随手关门</w:t>
      </w:r>
      <w:r w:rsidR="008C008B" w:rsidRPr="00FA3452">
        <w:rPr>
          <w:rFonts w:ascii="Times New Roman" w:eastAsia="楷体" w:hAnsi="楷体" w:cs="Times New Roman"/>
          <w:sz w:val="30"/>
          <w:szCs w:val="30"/>
        </w:rPr>
        <w:t>（特别注意不可故意虚掩）</w:t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。</w:t>
      </w:r>
    </w:p>
    <w:p w:rsidR="003B00EB" w:rsidRPr="00FA3452" w:rsidRDefault="002302FD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6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>.</w:t>
      </w:r>
      <w:r w:rsidR="003B00EB"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="003B00EB" w:rsidRPr="00FA3452">
        <w:rPr>
          <w:rFonts w:ascii="Times New Roman" w:eastAsia="楷体" w:hAnsi="楷体" w:cs="Times New Roman"/>
          <w:sz w:val="30"/>
          <w:szCs w:val="30"/>
        </w:rPr>
        <w:t>未经实验室管理人员许可，任何人不许随意动用实验室的仪器设备。使用人员必须遵守操作规章，要坚守岗位，发现问题及</w:t>
      </w:r>
      <w:r w:rsidR="003B00EB" w:rsidRPr="00FA3452">
        <w:rPr>
          <w:rFonts w:ascii="Times New Roman" w:eastAsia="楷体" w:hAnsi="楷体" w:cs="Times New Roman"/>
          <w:sz w:val="30"/>
          <w:szCs w:val="30"/>
        </w:rPr>
        <w:lastRenderedPageBreak/>
        <w:t>时处理，因不听指导或违反操作规程导致仪器设备损坏，要追究当事人责任。</w:t>
      </w:r>
    </w:p>
    <w:sectPr w:rsidR="003B00EB" w:rsidRPr="00FA3452" w:rsidSect="00A8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19" w:rsidRDefault="00AE6719" w:rsidP="00C85D46">
      <w:r>
        <w:separator/>
      </w:r>
    </w:p>
  </w:endnote>
  <w:endnote w:type="continuationSeparator" w:id="0">
    <w:p w:rsidR="00AE6719" w:rsidRDefault="00AE6719" w:rsidP="00C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19" w:rsidRDefault="00AE6719" w:rsidP="00C85D46">
      <w:r>
        <w:separator/>
      </w:r>
    </w:p>
  </w:footnote>
  <w:footnote w:type="continuationSeparator" w:id="0">
    <w:p w:rsidR="00AE6719" w:rsidRDefault="00AE6719" w:rsidP="00C8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4F5"/>
    <w:multiLevelType w:val="hybridMultilevel"/>
    <w:tmpl w:val="D30063C6"/>
    <w:lvl w:ilvl="0" w:tplc="9788AC0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B6BD5"/>
    <w:multiLevelType w:val="hybridMultilevel"/>
    <w:tmpl w:val="2548BDA2"/>
    <w:lvl w:ilvl="0" w:tplc="A2F645F4">
      <w:start w:val="1"/>
      <w:numFmt w:val="decimal"/>
      <w:lvlText w:val="%1."/>
      <w:lvlJc w:val="left"/>
      <w:pPr>
        <w:ind w:left="375" w:hanging="375"/>
      </w:pPr>
      <w:rPr>
        <w:rFonts w:ascii="Times New Roman" w:eastAsia="楷体" w:hAnsi="楷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A"/>
    <w:rsid w:val="000702BC"/>
    <w:rsid w:val="00077E12"/>
    <w:rsid w:val="001114E8"/>
    <w:rsid w:val="001602EF"/>
    <w:rsid w:val="001B058F"/>
    <w:rsid w:val="001F1C8F"/>
    <w:rsid w:val="002119DE"/>
    <w:rsid w:val="002302FD"/>
    <w:rsid w:val="00244A06"/>
    <w:rsid w:val="00272FCA"/>
    <w:rsid w:val="00287967"/>
    <w:rsid w:val="002A672C"/>
    <w:rsid w:val="00303DB9"/>
    <w:rsid w:val="003B00EB"/>
    <w:rsid w:val="0045726C"/>
    <w:rsid w:val="004D216A"/>
    <w:rsid w:val="00510851"/>
    <w:rsid w:val="00657C7B"/>
    <w:rsid w:val="007677DA"/>
    <w:rsid w:val="007A790A"/>
    <w:rsid w:val="007E200B"/>
    <w:rsid w:val="00821B77"/>
    <w:rsid w:val="00877390"/>
    <w:rsid w:val="008A4BE4"/>
    <w:rsid w:val="008C008B"/>
    <w:rsid w:val="008D75EC"/>
    <w:rsid w:val="0095438A"/>
    <w:rsid w:val="00992064"/>
    <w:rsid w:val="009E1370"/>
    <w:rsid w:val="00A01A53"/>
    <w:rsid w:val="00A03991"/>
    <w:rsid w:val="00A5187C"/>
    <w:rsid w:val="00A546FC"/>
    <w:rsid w:val="00A855CD"/>
    <w:rsid w:val="00AA756A"/>
    <w:rsid w:val="00AE6719"/>
    <w:rsid w:val="00C44BCD"/>
    <w:rsid w:val="00C7764C"/>
    <w:rsid w:val="00C85D46"/>
    <w:rsid w:val="00CC6528"/>
    <w:rsid w:val="00CE14B3"/>
    <w:rsid w:val="00CE1DDD"/>
    <w:rsid w:val="00D63EAE"/>
    <w:rsid w:val="00D844E7"/>
    <w:rsid w:val="00DB5FCA"/>
    <w:rsid w:val="00DC491D"/>
    <w:rsid w:val="00EA4ED6"/>
    <w:rsid w:val="00EC0135"/>
    <w:rsid w:val="00EE369A"/>
    <w:rsid w:val="00F349BB"/>
    <w:rsid w:val="00F569A5"/>
    <w:rsid w:val="00F66154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25825-A6BA-4D95-93A4-D2B667C6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D46"/>
    <w:rPr>
      <w:sz w:val="18"/>
      <w:szCs w:val="18"/>
    </w:rPr>
  </w:style>
  <w:style w:type="paragraph" w:styleId="a5">
    <w:name w:val="List Paragraph"/>
    <w:basedOn w:val="a"/>
    <w:uiPriority w:val="34"/>
    <w:qFormat/>
    <w:rsid w:val="007A79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zhhua</dc:creator>
  <cp:lastModifiedBy>zh</cp:lastModifiedBy>
  <cp:revision>16</cp:revision>
  <dcterms:created xsi:type="dcterms:W3CDTF">2016-09-13T08:40:00Z</dcterms:created>
  <dcterms:modified xsi:type="dcterms:W3CDTF">2018-06-20T00:52:00Z</dcterms:modified>
</cp:coreProperties>
</file>